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 xml:space="preserve">реализации, утвержденное постановлением Правительства Российской Федерации от 9января2014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Федерацииот 12</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847226">
        <w:rPr>
          <w:rFonts w:ascii="Times New Roman" w:eastAsia="Times New Roman" w:hAnsi="Times New Roman" w:cs="Times New Roman"/>
          <w:sz w:val="28"/>
          <w:szCs w:val="28"/>
        </w:rPr>
        <w:t>регистрируется</w:t>
      </w:r>
      <w:r w:rsidR="004F340B" w:rsidRPr="00A060B9">
        <w:rPr>
          <w:rFonts w:ascii="Times New Roman" w:eastAsia="Times New Roman" w:hAnsi="Times New Roman" w:cs="Times New Roman"/>
          <w:sz w:val="28"/>
          <w:szCs w:val="28"/>
        </w:rPr>
        <w:t>вжурнале</w:t>
      </w:r>
      <w:r w:rsidR="00F54A29" w:rsidRPr="00A060B9">
        <w:rPr>
          <w:rFonts w:ascii="Times New Roman" w:eastAsia="Times New Roman" w:hAnsi="Times New Roman" w:cs="Times New Roman"/>
          <w:sz w:val="28"/>
          <w:szCs w:val="28"/>
        </w:rPr>
        <w:t>регистрации уведомленийополученииподарка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w:t>
      </w:r>
      <w:r w:rsidR="00A56249" w:rsidRPr="00A060B9">
        <w:rPr>
          <w:rFonts w:ascii="Times New Roman" w:hAnsi="Times New Roman" w:cs="Times New Roman"/>
          <w:sz w:val="28"/>
          <w:szCs w:val="28"/>
        </w:rPr>
        <w:lastRenderedPageBreak/>
        <w:t xml:space="preserve">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xml:space="preserve">. Приэтомподарокдолженбытьсданнепозднее5рабочих дней со дня регистрации </w:t>
      </w:r>
      <w:r w:rsidR="002D0B59" w:rsidRPr="00A060B9">
        <w:rPr>
          <w:rFonts w:ascii="Times New Roman" w:hAnsi="Times New Roman" w:cs="Times New Roman"/>
          <w:sz w:val="28"/>
          <w:szCs w:val="28"/>
        </w:rPr>
        <w:lastRenderedPageBreak/>
        <w:t>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 xml:space="preserve">правовым актом </w:t>
      </w:r>
      <w:r w:rsidR="009A641F" w:rsidRPr="00A060B9">
        <w:rPr>
          <w:rFonts w:ascii="Times New Roman" w:hAnsi="Times New Roman" w:cs="Times New Roman"/>
          <w:sz w:val="28"/>
          <w:szCs w:val="28"/>
        </w:rPr>
        <w:lastRenderedPageBreak/>
        <w:t>государственного</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lastRenderedPageBreak/>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4B7" w:rsidRDefault="006A34B7" w:rsidP="00020BF3">
      <w:r>
        <w:separator/>
      </w:r>
    </w:p>
  </w:endnote>
  <w:endnote w:type="continuationSeparator" w:id="1">
    <w:p w:rsidR="006A34B7" w:rsidRDefault="006A34B7"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4B7" w:rsidRDefault="006A34B7" w:rsidP="00020BF3">
      <w:r>
        <w:separator/>
      </w:r>
    </w:p>
  </w:footnote>
  <w:footnote w:type="continuationSeparator" w:id="1">
    <w:p w:rsidR="006A34B7" w:rsidRDefault="006A34B7"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rsidRPr="002D3D66">
        <w:rPr>
          <w:rFonts w:ascii="Times New Roman" w:hAnsi="Times New Roman" w:cs="Times New Roman"/>
        </w:rPr>
        <w:t>Пункт</w:t>
      </w:r>
      <w:r>
        <w:rPr>
          <w:rFonts w:ascii="Times New Roman" w:hAnsi="Times New Roman" w:cs="Times New Roman"/>
        </w:rPr>
        <w:t xml:space="preserve">ы15,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F039B6"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A0E81">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0E81"/>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34B7"/>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128A"/>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39B6"/>
    <w:rsid w:val="00F05B28"/>
    <w:rsid w:val="00F075BE"/>
    <w:rsid w:val="00F252AD"/>
    <w:rsid w:val="00F31EFB"/>
    <w:rsid w:val="00F3409C"/>
    <w:rsid w:val="00F348D7"/>
    <w:rsid w:val="00F41A5B"/>
    <w:rsid w:val="00F425CE"/>
    <w:rsid w:val="00F53C6C"/>
    <w:rsid w:val="00F54A29"/>
    <w:rsid w:val="00F552E6"/>
    <w:rsid w:val="00F72D9A"/>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0AA3-5546-4925-9020-506246F6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2020-04-06T02:57:00Z</dcterms:created>
  <dcterms:modified xsi:type="dcterms:W3CDTF">2020-04-06T02:57:00Z</dcterms:modified>
</cp:coreProperties>
</file>